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F3F3E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473-20-1120.WS</w:t>
      </w:r>
    </w:p>
    <w:p w14:paraId="5CAA1765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49261</w:t>
      </w:r>
    </w:p>
    <w:p w14:paraId="045070DC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4608"/>
        <w:gridCol w:w="360"/>
        <w:gridCol w:w="4788"/>
      </w:tblGrid>
      <w:tr w:rsidR="003E180F" w:rsidRPr="003E180F" w14:paraId="74A434A9" w14:textId="77777777" w:rsidTr="005A0249">
        <w:trPr>
          <w:trHeight w:val="972"/>
        </w:trPr>
        <w:tc>
          <w:tcPr>
            <w:tcW w:w="4608" w:type="dxa"/>
          </w:tcPr>
          <w:p w14:paraId="1D06625E" w14:textId="1867D68C" w:rsidR="003E180F" w:rsidRPr="003E180F" w:rsidRDefault="003E180F" w:rsidP="003E180F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3E180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COMPLAINT OF MICHAEL E. MOORE AGAINST C</w:t>
            </w:r>
            <w:r w:rsidR="00077F06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-</w:t>
            </w:r>
            <w:r w:rsidRPr="003E180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WILLOW WATER COMPANY</w:t>
            </w:r>
          </w:p>
        </w:tc>
        <w:tc>
          <w:tcPr>
            <w:tcW w:w="360" w:type="dxa"/>
          </w:tcPr>
          <w:p w14:paraId="18F87DB4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FFB15CB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E7FD773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793449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788" w:type="dxa"/>
          </w:tcPr>
          <w:p w14:paraId="39D7C8BC" w14:textId="77777777" w:rsidR="003E180F" w:rsidRPr="003E180F" w:rsidRDefault="003E180F" w:rsidP="003E180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BEFORE THE STATE OFFICE</w:t>
            </w:r>
          </w:p>
          <w:p w14:paraId="263CA3A6" w14:textId="77777777" w:rsidR="003E180F" w:rsidRPr="003E180F" w:rsidRDefault="003E180F" w:rsidP="003E180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7F5ED87D" w14:textId="77777777" w:rsidR="003E180F" w:rsidRPr="003E180F" w:rsidRDefault="003E180F" w:rsidP="003E180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ADMINISTRATIVE HEARINGS</w:t>
            </w:r>
          </w:p>
        </w:tc>
      </w:tr>
    </w:tbl>
    <w:p w14:paraId="5A851DF8" w14:textId="66648C3D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REPLY</w:t>
      </w:r>
      <w:r w:rsidRPr="003E180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BRIEF</w:t>
      </w:r>
    </w:p>
    <w:p w14:paraId="3FDBA68F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8919244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A51E22" w14:textId="761B0228" w:rsidR="003E180F" w:rsidRPr="003E180F" w:rsidRDefault="003E180F" w:rsidP="003E1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3E180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E180F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E180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E1D48">
        <w:rPr>
          <w:rFonts w:ascii="Times New Roman" w:eastAsia="Times New Roman" w:hAnsi="Times New Roman" w:cs="Times New Roman"/>
          <w:noProof/>
          <w:sz w:val="24"/>
          <w:szCs w:val="24"/>
        </w:rPr>
        <w:t>July 22, 2020</w:t>
      </w:r>
      <w:r w:rsidRPr="003E180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6081D99D" w14:textId="77777777" w:rsidR="003E180F" w:rsidRPr="003E180F" w:rsidRDefault="003E180F" w:rsidP="003E1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863F03" w14:textId="77777777" w:rsidR="003E180F" w:rsidRPr="003E180F" w:rsidRDefault="003E180F" w:rsidP="003E180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692C5444" w14:textId="77777777" w:rsidR="003E180F" w:rsidRPr="003E180F" w:rsidRDefault="003E180F" w:rsidP="003E180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64A9B068" w14:textId="77777777" w:rsidR="003E180F" w:rsidRPr="003E180F" w:rsidRDefault="003E180F" w:rsidP="003E180F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5CE181B6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23A0D97" w14:textId="77777777" w:rsidR="003E180F" w:rsidRPr="003E180F" w:rsidRDefault="003E180F" w:rsidP="003E180F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182837F8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59F7DDF7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50B2167" w14:textId="77777777" w:rsidR="003E180F" w:rsidRPr="003E180F" w:rsidRDefault="003E180F" w:rsidP="003E180F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3239586"/>
      <w:r w:rsidRPr="003E180F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0"/>
      <w:r w:rsidRPr="003E18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0D29A2" w14:textId="77777777" w:rsidR="003E180F" w:rsidRPr="003E180F" w:rsidRDefault="003E180F" w:rsidP="003E180F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F03150C" w14:textId="77777777" w:rsidR="003E180F" w:rsidRPr="003E180F" w:rsidRDefault="003E180F" w:rsidP="003E1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4B6E76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CD97D82" w14:textId="3B737875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="002B397B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4EB0B97F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6CC90BBC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77D419E3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21D91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49650025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2C35552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AAD0860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B271FB2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</w:r>
      <w:r w:rsidRPr="003E180F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66F7BAD1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C6C4E2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C7BED98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9568B62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82DD3B1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11F03C4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DE06792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4F21F23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7A1460D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1092D61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1E8EBF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7570B2E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154BCBA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AD8FD51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8"/>
          <w:szCs w:val="24"/>
        </w:rPr>
        <w:lastRenderedPageBreak/>
        <w:t>TABLE OF CONTENTS</w:t>
      </w:r>
    </w:p>
    <w:p w14:paraId="017AECCA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</w:rPr>
      </w:pPr>
    </w:p>
    <w:p w14:paraId="63DAA51F" w14:textId="77777777" w:rsidR="003E180F" w:rsidRPr="003E180F" w:rsidRDefault="003E180F" w:rsidP="003E180F">
      <w:pPr>
        <w:numPr>
          <w:ilvl w:val="0"/>
          <w:numId w:val="5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4"/>
        </w:rPr>
      </w:pPr>
      <w:r w:rsidRPr="003E180F">
        <w:rPr>
          <w:rFonts w:ascii="Times New Roman" w:eastAsia="Times New Roman" w:hAnsi="Times New Roman" w:cs="Times New Roman"/>
          <w:b/>
          <w:bCs/>
          <w:caps/>
          <w:sz w:val="24"/>
        </w:rPr>
        <w:t>INTRODUCTION…………………………………………………………………...3</w:t>
      </w:r>
    </w:p>
    <w:p w14:paraId="7D12A17D" w14:textId="77777777" w:rsidR="003E180F" w:rsidRPr="003E180F" w:rsidRDefault="003E180F" w:rsidP="003E180F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4"/>
        </w:rPr>
      </w:pPr>
    </w:p>
    <w:p w14:paraId="42AC1304" w14:textId="1DC8E886" w:rsidR="00C440D8" w:rsidRDefault="00C440D8" w:rsidP="00C440D8">
      <w:pPr>
        <w:pStyle w:val="ListParagraph"/>
        <w:numPr>
          <w:ilvl w:val="0"/>
          <w:numId w:val="5"/>
        </w:numPr>
        <w:rPr>
          <w:b/>
          <w:bCs/>
          <w:caps/>
          <w:szCs w:val="22"/>
        </w:rPr>
      </w:pPr>
      <w:r>
        <w:rPr>
          <w:b/>
          <w:bCs/>
          <w:caps/>
          <w:szCs w:val="22"/>
        </w:rPr>
        <w:t>ACCURACY OF METER READING…………………………………………</w:t>
      </w:r>
      <w:proofErr w:type="gramStart"/>
      <w:r>
        <w:rPr>
          <w:b/>
          <w:bCs/>
          <w:caps/>
          <w:szCs w:val="22"/>
        </w:rPr>
        <w:t>…..</w:t>
      </w:r>
      <w:proofErr w:type="gramEnd"/>
      <w:r>
        <w:rPr>
          <w:b/>
          <w:bCs/>
          <w:caps/>
          <w:szCs w:val="22"/>
        </w:rPr>
        <w:t>3</w:t>
      </w:r>
    </w:p>
    <w:p w14:paraId="5E6252F3" w14:textId="77777777" w:rsidR="00C440D8" w:rsidRPr="00C440D8" w:rsidRDefault="00C440D8" w:rsidP="00C440D8">
      <w:pPr>
        <w:pStyle w:val="ListParagraph"/>
        <w:rPr>
          <w:b/>
          <w:bCs/>
          <w:caps/>
          <w:szCs w:val="22"/>
        </w:rPr>
      </w:pPr>
    </w:p>
    <w:p w14:paraId="2B5A1658" w14:textId="2580145D" w:rsidR="00C440D8" w:rsidRDefault="00C440D8" w:rsidP="00C440D8">
      <w:pPr>
        <w:pStyle w:val="ListParagraph"/>
        <w:numPr>
          <w:ilvl w:val="0"/>
          <w:numId w:val="5"/>
        </w:numPr>
        <w:rPr>
          <w:b/>
          <w:bCs/>
          <w:caps/>
          <w:szCs w:val="22"/>
        </w:rPr>
      </w:pPr>
      <w:r w:rsidRPr="00046311">
        <w:rPr>
          <w:b/>
          <w:bCs/>
          <w:caps/>
          <w:szCs w:val="22"/>
        </w:rPr>
        <w:t>QUALIFIED SERVICE APPLICANT UNDER 16 TEXAS ADMINISTRATIVE CODE (TAC) § 24.161(a)</w:t>
      </w:r>
      <w:r>
        <w:rPr>
          <w:b/>
          <w:bCs/>
          <w:caps/>
          <w:szCs w:val="22"/>
        </w:rPr>
        <w:t>……………………………………………………………4</w:t>
      </w:r>
    </w:p>
    <w:p w14:paraId="4ECA26C7" w14:textId="77777777" w:rsidR="003E180F" w:rsidRPr="003E180F" w:rsidRDefault="003E180F" w:rsidP="00C440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4"/>
        </w:rPr>
      </w:pPr>
    </w:p>
    <w:p w14:paraId="3C3E8F90" w14:textId="38303099" w:rsidR="003E180F" w:rsidRPr="00C440D8" w:rsidRDefault="00C440D8" w:rsidP="00C440D8">
      <w:pPr>
        <w:pStyle w:val="ListParagraph"/>
        <w:numPr>
          <w:ilvl w:val="0"/>
          <w:numId w:val="5"/>
        </w:numPr>
        <w:rPr>
          <w:b/>
          <w:bCs/>
        </w:rPr>
      </w:pPr>
      <w:r w:rsidRPr="00C440D8">
        <w:rPr>
          <w:b/>
          <w:bCs/>
        </w:rPr>
        <w:t>CONCLUSION…………………………………………………………………......</w:t>
      </w:r>
      <w:r>
        <w:rPr>
          <w:b/>
          <w:bCs/>
        </w:rPr>
        <w:t>..4</w:t>
      </w:r>
    </w:p>
    <w:p w14:paraId="21F4520E" w14:textId="05209B74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4EF8601F" w14:textId="298C5AD5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0885617E" w14:textId="7FF9D684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2EA78B8D" w14:textId="6CA174F7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09111248" w14:textId="6EF71305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17A18FDE" w14:textId="2C19049A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56D25053" w14:textId="5D606BD3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5715582A" w14:textId="68E42D47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14A9FDD3" w14:textId="587B32E3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095C00E4" w14:textId="299AD6D0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342FB4F1" w14:textId="253D510D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3C5B2ED9" w14:textId="11210D7B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3C0EE892" w14:textId="22FD0E6B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611EEF7E" w14:textId="7AD69FB1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16B95139" w14:textId="5E6DBE5D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332CDAA4" w14:textId="5ACC8BC9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741B7F6C" w14:textId="5DF45788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01CEDBA5" w14:textId="77CCF73E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0D360F79" w14:textId="6DFC486E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47165709" w14:textId="0C1D0726" w:rsidR="003E180F" w:rsidRDefault="003E180F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50A7ECFC" w14:textId="77777777" w:rsidR="005D6E77" w:rsidRDefault="005D6E77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5794011E" w14:textId="77777777" w:rsidR="00C440D8" w:rsidRPr="003E180F" w:rsidRDefault="00C440D8" w:rsidP="003E180F">
      <w:pPr>
        <w:rPr>
          <w:rFonts w:ascii="Times New Roman" w:eastAsia="Times New Roman" w:hAnsi="Times New Roman" w:cs="Times New Roman"/>
          <w:sz w:val="24"/>
          <w:szCs w:val="20"/>
        </w:rPr>
      </w:pPr>
    </w:p>
    <w:p w14:paraId="3F15D84D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SOAH DOCKET NO. 473-20-1120.WS</w:t>
      </w:r>
    </w:p>
    <w:p w14:paraId="4417C841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49261</w:t>
      </w:r>
    </w:p>
    <w:p w14:paraId="5F6A4DFD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4608"/>
        <w:gridCol w:w="360"/>
        <w:gridCol w:w="4788"/>
      </w:tblGrid>
      <w:tr w:rsidR="003E180F" w:rsidRPr="003E180F" w14:paraId="32DCDBC9" w14:textId="77777777" w:rsidTr="005A0249">
        <w:trPr>
          <w:trHeight w:val="972"/>
        </w:trPr>
        <w:tc>
          <w:tcPr>
            <w:tcW w:w="4608" w:type="dxa"/>
          </w:tcPr>
          <w:p w14:paraId="0C3EBDBA" w14:textId="45ADE63A" w:rsidR="003E180F" w:rsidRPr="003E180F" w:rsidRDefault="003E180F" w:rsidP="003E180F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3E180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COMPLAINT OF MICHAEL E. MOORE AGAINST C</w:t>
            </w:r>
            <w:r w:rsidR="004770EA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-</w:t>
            </w:r>
            <w:r w:rsidRPr="003E180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WILLOW WATER COMPANY</w:t>
            </w:r>
          </w:p>
        </w:tc>
        <w:tc>
          <w:tcPr>
            <w:tcW w:w="360" w:type="dxa"/>
          </w:tcPr>
          <w:p w14:paraId="5E0141BD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143E033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3FCFDFC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BA89752" w14:textId="77777777" w:rsidR="003E180F" w:rsidRPr="003E180F" w:rsidRDefault="003E180F" w:rsidP="003E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788" w:type="dxa"/>
          </w:tcPr>
          <w:p w14:paraId="7DC1F868" w14:textId="77777777" w:rsidR="003E180F" w:rsidRPr="003E180F" w:rsidRDefault="003E180F" w:rsidP="003E180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BEFORE THE STATE OFFICE</w:t>
            </w:r>
          </w:p>
          <w:p w14:paraId="1563A2E6" w14:textId="77777777" w:rsidR="003E180F" w:rsidRPr="003E180F" w:rsidRDefault="003E180F" w:rsidP="003E180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2A6D016F" w14:textId="77777777" w:rsidR="003E180F" w:rsidRPr="003E180F" w:rsidRDefault="003E180F" w:rsidP="003E180F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E180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ADMINISTRATIVE HEARINGS</w:t>
            </w:r>
          </w:p>
        </w:tc>
      </w:tr>
    </w:tbl>
    <w:p w14:paraId="5DE88D67" w14:textId="3021FBE5" w:rsidR="003E180F" w:rsidRPr="003E180F" w:rsidRDefault="003E180F" w:rsidP="003E180F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REPLY</w:t>
      </w: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brief</w:t>
      </w:r>
    </w:p>
    <w:p w14:paraId="3D858B06" w14:textId="77777777" w:rsidR="003E180F" w:rsidRPr="003E180F" w:rsidRDefault="003E180F" w:rsidP="003E180F">
      <w:pPr>
        <w:keepNext/>
        <w:numPr>
          <w:ilvl w:val="0"/>
          <w:numId w:val="1"/>
        </w:num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Hlk44842463"/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INTRODUCTION</w:t>
      </w:r>
    </w:p>
    <w:p w14:paraId="143EF1E8" w14:textId="57E0F519" w:rsidR="003E180F" w:rsidRPr="003E180F" w:rsidRDefault="003E180F" w:rsidP="00665476">
      <w:pPr>
        <w:keepNext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C</w:t>
      </w:r>
      <w:r w:rsidR="004770EA">
        <w:rPr>
          <w:rFonts w:ascii="Times New Roman" w:eastAsia="Times New Roman" w:hAnsi="Times New Roman" w:cs="Times New Roman"/>
          <w:bCs/>
          <w:cap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illow Water Company’s (C</w:t>
      </w:r>
      <w:r w:rsidR="004770E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Willow) Written Closing Arguments made claims regarding the accuracy of meter readings and whether </w:t>
      </w:r>
      <w:bookmarkEnd w:id="1"/>
      <w:r>
        <w:rPr>
          <w:rFonts w:ascii="Times New Roman" w:eastAsia="Times New Roman" w:hAnsi="Times New Roman" w:cs="Times New Roman"/>
          <w:bCs/>
          <w:sz w:val="24"/>
          <w:szCs w:val="24"/>
        </w:rPr>
        <w:t>Michael Moore (</w:t>
      </w:r>
      <w:r w:rsidR="00A03161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Moore) was a qualified service applicant prior to September 13, 2018.</w:t>
      </w:r>
      <w:r w:rsidR="005157B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1"/>
      </w:r>
      <w:r w:rsidR="005157BC">
        <w:rPr>
          <w:rFonts w:ascii="Times New Roman" w:eastAsia="Times New Roman" w:hAnsi="Times New Roman" w:cs="Times New Roman"/>
          <w:bCs/>
          <w:sz w:val="24"/>
          <w:szCs w:val="24"/>
        </w:rPr>
        <w:t xml:space="preserve"> Staff</w:t>
      </w:r>
      <w:r w:rsidR="00CA4C25">
        <w:rPr>
          <w:rFonts w:ascii="Times New Roman" w:eastAsia="Times New Roman" w:hAnsi="Times New Roman" w:cs="Times New Roman"/>
          <w:bCs/>
          <w:sz w:val="24"/>
          <w:szCs w:val="24"/>
        </w:rPr>
        <w:t>’s Reply Brief</w:t>
      </w:r>
      <w:r w:rsidR="005157BC">
        <w:rPr>
          <w:rFonts w:ascii="Times New Roman" w:eastAsia="Times New Roman" w:hAnsi="Times New Roman" w:cs="Times New Roman"/>
          <w:bCs/>
          <w:sz w:val="24"/>
          <w:szCs w:val="24"/>
        </w:rPr>
        <w:t xml:space="preserve"> will re</w:t>
      </w:r>
      <w:r w:rsidR="00CA4C25">
        <w:rPr>
          <w:rFonts w:ascii="Times New Roman" w:eastAsia="Times New Roman" w:hAnsi="Times New Roman" w:cs="Times New Roman"/>
          <w:bCs/>
          <w:sz w:val="24"/>
          <w:szCs w:val="24"/>
        </w:rPr>
        <w:t>spond</w:t>
      </w:r>
      <w:r w:rsidR="005157BC">
        <w:rPr>
          <w:rFonts w:ascii="Times New Roman" w:eastAsia="Times New Roman" w:hAnsi="Times New Roman" w:cs="Times New Roman"/>
          <w:bCs/>
          <w:sz w:val="24"/>
          <w:szCs w:val="24"/>
        </w:rPr>
        <w:t xml:space="preserve"> to both </w:t>
      </w:r>
      <w:r w:rsidR="00CA4C25">
        <w:rPr>
          <w:rFonts w:ascii="Times New Roman" w:eastAsia="Times New Roman" w:hAnsi="Times New Roman" w:cs="Times New Roman"/>
          <w:bCs/>
          <w:sz w:val="24"/>
          <w:szCs w:val="24"/>
        </w:rPr>
        <w:t>of</w:t>
      </w:r>
      <w:r w:rsidR="005157BC">
        <w:rPr>
          <w:rFonts w:ascii="Times New Roman" w:eastAsia="Times New Roman" w:hAnsi="Times New Roman" w:cs="Times New Roman"/>
          <w:bCs/>
          <w:sz w:val="24"/>
          <w:szCs w:val="24"/>
        </w:rPr>
        <w:t xml:space="preserve"> C</w:t>
      </w:r>
      <w:r w:rsidR="004770E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5157BC">
        <w:rPr>
          <w:rFonts w:ascii="Times New Roman" w:eastAsia="Times New Roman" w:hAnsi="Times New Roman" w:cs="Times New Roman"/>
          <w:bCs/>
          <w:sz w:val="24"/>
          <w:szCs w:val="24"/>
        </w:rPr>
        <w:t>Willow</w:t>
      </w:r>
      <w:r w:rsidR="00CA4C25">
        <w:rPr>
          <w:rFonts w:ascii="Times New Roman" w:eastAsia="Times New Roman" w:hAnsi="Times New Roman" w:cs="Times New Roman"/>
          <w:bCs/>
          <w:sz w:val="24"/>
          <w:szCs w:val="24"/>
        </w:rPr>
        <w:t>’s claims</w:t>
      </w:r>
      <w:r w:rsidR="005157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4BC3830" w14:textId="1C0F79F2" w:rsidR="005157BC" w:rsidRDefault="005157BC" w:rsidP="003E180F">
      <w:pPr>
        <w:keepNext/>
        <w:numPr>
          <w:ilvl w:val="0"/>
          <w:numId w:val="1"/>
        </w:num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Accuracy of meter Reading</w:t>
      </w:r>
    </w:p>
    <w:p w14:paraId="18C5F23D" w14:textId="5E7ADB8A" w:rsidR="005157BC" w:rsidRDefault="005157BC" w:rsidP="004770EA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2FFC">
        <w:rPr>
          <w:rFonts w:ascii="Times New Roman" w:hAnsi="Times New Roman" w:cs="Times New Roman"/>
          <w:caps/>
          <w:sz w:val="24"/>
          <w:szCs w:val="24"/>
        </w:rPr>
        <w:t>C-W</w:t>
      </w:r>
      <w:r w:rsidRPr="00762FFC">
        <w:rPr>
          <w:rFonts w:ascii="Times New Roman" w:hAnsi="Times New Roman" w:cs="Times New Roman"/>
          <w:sz w:val="24"/>
          <w:szCs w:val="24"/>
        </w:rPr>
        <w:t xml:space="preserve">illow, in </w:t>
      </w:r>
      <w:r w:rsidR="00077F06">
        <w:rPr>
          <w:rFonts w:ascii="Times New Roman" w:hAnsi="Times New Roman" w:cs="Times New Roman"/>
          <w:sz w:val="24"/>
          <w:szCs w:val="24"/>
        </w:rPr>
        <w:t xml:space="preserve">its </w:t>
      </w:r>
      <w:r w:rsidRPr="00762FFC">
        <w:rPr>
          <w:rFonts w:ascii="Times New Roman" w:hAnsi="Times New Roman" w:cs="Times New Roman"/>
          <w:sz w:val="24"/>
          <w:szCs w:val="24"/>
        </w:rPr>
        <w:t xml:space="preserve">Written Closing Arguments, </w:t>
      </w:r>
      <w:r w:rsidR="00610F4F">
        <w:rPr>
          <w:rFonts w:ascii="Times New Roman" w:hAnsi="Times New Roman" w:cs="Times New Roman"/>
          <w:sz w:val="24"/>
          <w:szCs w:val="24"/>
        </w:rPr>
        <w:t>identified</w:t>
      </w:r>
      <w:r w:rsidRPr="00762FFC">
        <w:rPr>
          <w:rFonts w:ascii="Times New Roman" w:hAnsi="Times New Roman" w:cs="Times New Roman"/>
          <w:sz w:val="24"/>
          <w:szCs w:val="24"/>
        </w:rPr>
        <w:t xml:space="preserve"> multiple </w:t>
      </w:r>
      <w:r w:rsidR="00610F4F">
        <w:rPr>
          <w:rFonts w:ascii="Times New Roman" w:hAnsi="Times New Roman" w:cs="Times New Roman"/>
          <w:sz w:val="24"/>
          <w:szCs w:val="24"/>
        </w:rPr>
        <w:t xml:space="preserve">individuals or entities </w:t>
      </w:r>
      <w:r w:rsidRPr="00762FFC">
        <w:rPr>
          <w:rFonts w:ascii="Times New Roman" w:hAnsi="Times New Roman" w:cs="Times New Roman"/>
          <w:sz w:val="24"/>
          <w:szCs w:val="24"/>
        </w:rPr>
        <w:t xml:space="preserve"> the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y </w:t>
      </w:r>
      <w:r w:rsidRPr="00762FFC">
        <w:rPr>
          <w:rFonts w:ascii="Times New Roman" w:hAnsi="Times New Roman" w:cs="Times New Roman"/>
          <w:sz w:val="24"/>
          <w:szCs w:val="24"/>
        </w:rPr>
        <w:t xml:space="preserve">claim read </w:t>
      </w:r>
      <w:r w:rsidR="00A03161">
        <w:rPr>
          <w:rFonts w:ascii="Times New Roman" w:hAnsi="Times New Roman" w:cs="Times New Roman"/>
          <w:sz w:val="24"/>
          <w:szCs w:val="24"/>
        </w:rPr>
        <w:t xml:space="preserve">Mr. </w:t>
      </w:r>
      <w:r w:rsidRPr="00762FFC">
        <w:rPr>
          <w:rFonts w:ascii="Times New Roman" w:hAnsi="Times New Roman" w:cs="Times New Roman"/>
          <w:sz w:val="24"/>
          <w:szCs w:val="24"/>
        </w:rPr>
        <w:t>Moore’s meter for accuracy.</w:t>
      </w:r>
      <w:r w:rsidRPr="00762FF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2"/>
      </w:r>
      <w:r w:rsidRPr="00762FFC">
        <w:rPr>
          <w:rFonts w:ascii="Times New Roman" w:hAnsi="Times New Roman" w:cs="Times New Roman"/>
          <w:sz w:val="24"/>
          <w:szCs w:val="24"/>
        </w:rPr>
        <w:t xml:space="preserve"> </w:t>
      </w:r>
      <w:r w:rsidR="00155DE6" w:rsidRPr="00762FFC">
        <w:rPr>
          <w:rFonts w:ascii="Times New Roman" w:hAnsi="Times New Roman" w:cs="Times New Roman"/>
          <w:sz w:val="24"/>
          <w:szCs w:val="24"/>
        </w:rPr>
        <w:t>C</w:t>
      </w:r>
      <w:r w:rsidR="004770EA">
        <w:rPr>
          <w:rFonts w:ascii="Times New Roman" w:hAnsi="Times New Roman" w:cs="Times New Roman"/>
          <w:sz w:val="24"/>
          <w:szCs w:val="24"/>
        </w:rPr>
        <w:t>-</w:t>
      </w:r>
      <w:r w:rsidR="00155DE6" w:rsidRPr="00762FFC">
        <w:rPr>
          <w:rFonts w:ascii="Times New Roman" w:hAnsi="Times New Roman" w:cs="Times New Roman"/>
          <w:sz w:val="24"/>
          <w:szCs w:val="24"/>
        </w:rPr>
        <w:t>Willow</w:t>
      </w:r>
      <w:r w:rsidRPr="00762FFC">
        <w:rPr>
          <w:rFonts w:ascii="Times New Roman" w:hAnsi="Times New Roman" w:cs="Times New Roman"/>
          <w:sz w:val="24"/>
          <w:szCs w:val="24"/>
        </w:rPr>
        <w:t xml:space="preserve"> claim</w:t>
      </w:r>
      <w:r w:rsidR="00155DE6" w:rsidRPr="00762FFC">
        <w:rPr>
          <w:rFonts w:ascii="Times New Roman" w:hAnsi="Times New Roman" w:cs="Times New Roman"/>
          <w:sz w:val="24"/>
          <w:szCs w:val="24"/>
        </w:rPr>
        <w:t>s</w:t>
      </w:r>
      <w:r w:rsidRPr="00762FFC">
        <w:rPr>
          <w:rFonts w:ascii="Times New Roman" w:hAnsi="Times New Roman" w:cs="Times New Roman"/>
          <w:sz w:val="24"/>
          <w:szCs w:val="24"/>
        </w:rPr>
        <w:t xml:space="preserve"> that because no party found discrepancies in the meter itself, the accuracy of the gallonage reading</w:t>
      </w:r>
      <w:r w:rsidR="00610F4F">
        <w:rPr>
          <w:rFonts w:ascii="Times New Roman" w:hAnsi="Times New Roman" w:cs="Times New Roman"/>
          <w:sz w:val="24"/>
          <w:szCs w:val="24"/>
        </w:rPr>
        <w:t>s have been verified</w:t>
      </w:r>
      <w:r w:rsidRPr="00762FFC">
        <w:rPr>
          <w:rFonts w:ascii="Times New Roman" w:hAnsi="Times New Roman" w:cs="Times New Roman"/>
          <w:sz w:val="24"/>
          <w:szCs w:val="24"/>
        </w:rPr>
        <w:t>.</w:t>
      </w:r>
      <w:r w:rsidRPr="00762FF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3"/>
      </w:r>
      <w:r w:rsidRPr="00762FFC">
        <w:rPr>
          <w:rFonts w:ascii="Times New Roman" w:hAnsi="Times New Roman" w:cs="Times New Roman"/>
          <w:sz w:val="24"/>
          <w:szCs w:val="24"/>
        </w:rPr>
        <w:t xml:space="preserve"> </w:t>
      </w:r>
      <w:r w:rsidR="00610F4F">
        <w:rPr>
          <w:rFonts w:ascii="Times New Roman" w:hAnsi="Times New Roman" w:cs="Times New Roman"/>
          <w:sz w:val="24"/>
          <w:szCs w:val="24"/>
        </w:rPr>
        <w:t xml:space="preserve">However, </w:t>
      </w:r>
      <w:r w:rsidRPr="00762FFC">
        <w:rPr>
          <w:rFonts w:ascii="Times New Roman" w:hAnsi="Times New Roman" w:cs="Times New Roman"/>
          <w:sz w:val="24"/>
          <w:szCs w:val="24"/>
        </w:rPr>
        <w:t xml:space="preserve">Staff’s Initial Brief outlined 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discrepancies in C-Willow’s record keeping that could have led to an inaccurate reading </w:t>
      </w:r>
      <w:r w:rsidR="006D3C3E">
        <w:rPr>
          <w:rFonts w:ascii="Times New Roman" w:hAnsi="Times New Roman" w:cs="Times New Roman"/>
          <w:sz w:val="24"/>
          <w:szCs w:val="24"/>
        </w:rPr>
        <w:t>of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 </w:t>
      </w:r>
      <w:r w:rsidR="00A03161">
        <w:rPr>
          <w:rFonts w:ascii="Times New Roman" w:hAnsi="Times New Roman" w:cs="Times New Roman"/>
          <w:sz w:val="24"/>
          <w:szCs w:val="24"/>
        </w:rPr>
        <w:t xml:space="preserve">Mr. </w:t>
      </w:r>
      <w:r w:rsidR="00155DE6" w:rsidRPr="00762FFC">
        <w:rPr>
          <w:rFonts w:ascii="Times New Roman" w:hAnsi="Times New Roman" w:cs="Times New Roman"/>
          <w:sz w:val="24"/>
          <w:szCs w:val="24"/>
        </w:rPr>
        <w:t>Moore’s meter.</w:t>
      </w:r>
      <w:r w:rsidR="00155DE6" w:rsidRPr="00762FF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4"/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 Further, Staff provided an analysis of the 495,280 gallon</w:t>
      </w:r>
      <w:r w:rsidR="006D3C3E">
        <w:rPr>
          <w:rFonts w:ascii="Times New Roman" w:hAnsi="Times New Roman" w:cs="Times New Roman"/>
          <w:sz w:val="24"/>
          <w:szCs w:val="24"/>
        </w:rPr>
        <w:t xml:space="preserve">age reading 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and why </w:t>
      </w:r>
      <w:r w:rsidR="00A03161">
        <w:rPr>
          <w:rFonts w:ascii="Times New Roman" w:hAnsi="Times New Roman" w:cs="Times New Roman"/>
          <w:sz w:val="24"/>
          <w:szCs w:val="24"/>
        </w:rPr>
        <w:t xml:space="preserve">Mr. </w:t>
      </w:r>
      <w:r w:rsidR="00155DE6" w:rsidRPr="00762FFC">
        <w:rPr>
          <w:rFonts w:ascii="Times New Roman" w:hAnsi="Times New Roman" w:cs="Times New Roman"/>
          <w:sz w:val="24"/>
          <w:szCs w:val="24"/>
        </w:rPr>
        <w:t>Moore using that much water in one month was highly improbable.</w:t>
      </w:r>
      <w:r w:rsidR="00155DE6" w:rsidRPr="00762FF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5"/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 Staff’s analysis in its Initial Brief </w:t>
      </w:r>
      <w:r w:rsidR="00F930C9">
        <w:rPr>
          <w:rFonts w:ascii="Times New Roman" w:hAnsi="Times New Roman" w:cs="Times New Roman"/>
          <w:sz w:val="24"/>
          <w:szCs w:val="24"/>
        </w:rPr>
        <w:t>addresses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 the 495</w:t>
      </w:r>
      <w:r w:rsidR="00116336">
        <w:rPr>
          <w:rFonts w:ascii="Times New Roman" w:hAnsi="Times New Roman" w:cs="Times New Roman"/>
          <w:sz w:val="24"/>
          <w:szCs w:val="24"/>
        </w:rPr>
        <w:t>,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280 gallon reading </w:t>
      </w:r>
      <w:r w:rsidR="00F930C9">
        <w:rPr>
          <w:rFonts w:ascii="Times New Roman" w:hAnsi="Times New Roman" w:cs="Times New Roman"/>
          <w:sz w:val="24"/>
          <w:szCs w:val="24"/>
        </w:rPr>
        <w:t xml:space="preserve">and established that it is </w:t>
      </w:r>
      <w:r w:rsidR="00155DE6" w:rsidRPr="00762FFC">
        <w:rPr>
          <w:rFonts w:ascii="Times New Roman" w:hAnsi="Times New Roman" w:cs="Times New Roman"/>
          <w:sz w:val="24"/>
          <w:szCs w:val="24"/>
        </w:rPr>
        <w:t xml:space="preserve"> likely inaccurate and did not reflect </w:t>
      </w:r>
      <w:r w:rsidR="00A03161">
        <w:rPr>
          <w:rFonts w:ascii="Times New Roman" w:hAnsi="Times New Roman" w:cs="Times New Roman"/>
          <w:sz w:val="24"/>
          <w:szCs w:val="24"/>
        </w:rPr>
        <w:t xml:space="preserve">Mr. </w:t>
      </w:r>
      <w:r w:rsidR="00155DE6" w:rsidRPr="00762FFC">
        <w:rPr>
          <w:rFonts w:ascii="Times New Roman" w:hAnsi="Times New Roman" w:cs="Times New Roman"/>
          <w:sz w:val="24"/>
          <w:szCs w:val="24"/>
        </w:rPr>
        <w:t>Moore’s actual usage from July to August of 2018.</w:t>
      </w:r>
      <w:r w:rsidR="00155DE6" w:rsidRPr="00762FF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6"/>
      </w:r>
      <w:r w:rsidR="00762FFC" w:rsidRPr="00762FFC">
        <w:rPr>
          <w:rFonts w:ascii="Times New Roman" w:hAnsi="Times New Roman" w:cs="Times New Roman"/>
          <w:sz w:val="24"/>
          <w:szCs w:val="24"/>
        </w:rPr>
        <w:t xml:space="preserve"> C</w:t>
      </w:r>
      <w:r w:rsidR="004770EA">
        <w:rPr>
          <w:rFonts w:ascii="Times New Roman" w:hAnsi="Times New Roman" w:cs="Times New Roman"/>
          <w:sz w:val="24"/>
          <w:szCs w:val="24"/>
        </w:rPr>
        <w:t>-</w:t>
      </w:r>
      <w:r w:rsidR="00762FFC" w:rsidRPr="00762FFC">
        <w:rPr>
          <w:rFonts w:ascii="Times New Roman" w:hAnsi="Times New Roman" w:cs="Times New Roman"/>
          <w:sz w:val="24"/>
          <w:szCs w:val="24"/>
        </w:rPr>
        <w:t xml:space="preserve">Willow did not provide any new information or analysis regarding the accuracy of the meter reading in </w:t>
      </w:r>
      <w:r w:rsidR="00077F06">
        <w:rPr>
          <w:rFonts w:ascii="Times New Roman" w:hAnsi="Times New Roman" w:cs="Times New Roman"/>
          <w:sz w:val="24"/>
          <w:szCs w:val="24"/>
        </w:rPr>
        <w:t xml:space="preserve">its </w:t>
      </w:r>
      <w:r w:rsidR="00762FFC" w:rsidRPr="00762FFC">
        <w:rPr>
          <w:rFonts w:ascii="Times New Roman" w:hAnsi="Times New Roman" w:cs="Times New Roman"/>
          <w:sz w:val="24"/>
          <w:szCs w:val="24"/>
        </w:rPr>
        <w:t xml:space="preserve">Written Closing Arguments that was not </w:t>
      </w:r>
      <w:r w:rsidR="00496041">
        <w:rPr>
          <w:rFonts w:ascii="Times New Roman" w:hAnsi="Times New Roman" w:cs="Times New Roman"/>
          <w:sz w:val="24"/>
          <w:szCs w:val="24"/>
        </w:rPr>
        <w:t xml:space="preserve">already </w:t>
      </w:r>
      <w:r w:rsidR="00F930C9">
        <w:rPr>
          <w:rFonts w:ascii="Times New Roman" w:hAnsi="Times New Roman" w:cs="Times New Roman"/>
          <w:sz w:val="24"/>
          <w:szCs w:val="24"/>
        </w:rPr>
        <w:t>addressed</w:t>
      </w:r>
      <w:r w:rsidR="00762FFC" w:rsidRPr="00762FFC">
        <w:rPr>
          <w:rFonts w:ascii="Times New Roman" w:hAnsi="Times New Roman" w:cs="Times New Roman"/>
          <w:sz w:val="24"/>
          <w:szCs w:val="24"/>
        </w:rPr>
        <w:t xml:space="preserve"> by Staff’s Initial Brief. Thus, Staff</w:t>
      </w:r>
      <w:r w:rsidR="00F930C9">
        <w:rPr>
          <w:rFonts w:ascii="Times New Roman" w:hAnsi="Times New Roman" w:cs="Times New Roman"/>
          <w:sz w:val="24"/>
          <w:szCs w:val="24"/>
        </w:rPr>
        <w:t xml:space="preserve">’s position remains </w:t>
      </w:r>
      <w:r w:rsidR="00FC1469">
        <w:rPr>
          <w:rFonts w:ascii="Times New Roman" w:hAnsi="Times New Roman" w:cs="Times New Roman"/>
          <w:sz w:val="24"/>
          <w:szCs w:val="24"/>
        </w:rPr>
        <w:t xml:space="preserve">that the number of </w:t>
      </w:r>
      <w:r w:rsidR="00A30C9A">
        <w:rPr>
          <w:rFonts w:ascii="Times New Roman" w:hAnsi="Times New Roman" w:cs="Times New Roman"/>
          <w:sz w:val="24"/>
          <w:szCs w:val="24"/>
        </w:rPr>
        <w:t>discrepancies</w:t>
      </w:r>
      <w:r w:rsidR="00FC1469">
        <w:rPr>
          <w:rFonts w:ascii="Times New Roman" w:hAnsi="Times New Roman" w:cs="Times New Roman"/>
          <w:sz w:val="24"/>
          <w:szCs w:val="24"/>
        </w:rPr>
        <w:t xml:space="preserve"> in C-Willows records with regard to the meter readings combined with the </w:t>
      </w:r>
      <w:r w:rsidR="00A30C9A">
        <w:rPr>
          <w:rFonts w:ascii="Times New Roman" w:hAnsi="Times New Roman" w:cs="Times New Roman"/>
          <w:sz w:val="24"/>
          <w:szCs w:val="24"/>
        </w:rPr>
        <w:t xml:space="preserve">fact that, absent a leak or other anomaly, </w:t>
      </w:r>
      <w:r w:rsidR="00FC1469">
        <w:rPr>
          <w:rFonts w:ascii="Times New Roman" w:hAnsi="Times New Roman" w:cs="Times New Roman"/>
          <w:sz w:val="24"/>
          <w:szCs w:val="24"/>
        </w:rPr>
        <w:t xml:space="preserve"> </w:t>
      </w:r>
      <w:r w:rsidR="00565000">
        <w:rPr>
          <w:rFonts w:ascii="Times New Roman" w:hAnsi="Times New Roman" w:cs="Times New Roman"/>
          <w:sz w:val="24"/>
          <w:szCs w:val="24"/>
        </w:rPr>
        <w:t xml:space="preserve">Mr. </w:t>
      </w:r>
      <w:r w:rsidR="00762FFC" w:rsidRPr="00762FFC">
        <w:rPr>
          <w:rFonts w:ascii="Times New Roman" w:hAnsi="Times New Roman" w:cs="Times New Roman"/>
          <w:sz w:val="24"/>
          <w:szCs w:val="24"/>
        </w:rPr>
        <w:t xml:space="preserve">Moore could not have used </w:t>
      </w:r>
      <w:r w:rsidR="00762FFC">
        <w:rPr>
          <w:rFonts w:ascii="Times New Roman" w:hAnsi="Times New Roman" w:cs="Times New Roman"/>
          <w:sz w:val="24"/>
          <w:szCs w:val="24"/>
        </w:rPr>
        <w:t xml:space="preserve">495,280 gallons in </w:t>
      </w:r>
      <w:r w:rsidR="00496041">
        <w:rPr>
          <w:rFonts w:ascii="Times New Roman" w:hAnsi="Times New Roman" w:cs="Times New Roman"/>
          <w:sz w:val="24"/>
          <w:szCs w:val="24"/>
        </w:rPr>
        <w:t xml:space="preserve">the period from </w:t>
      </w:r>
      <w:r w:rsidR="00762FFC">
        <w:rPr>
          <w:rFonts w:ascii="Times New Roman" w:hAnsi="Times New Roman" w:cs="Times New Roman"/>
          <w:sz w:val="24"/>
          <w:szCs w:val="24"/>
        </w:rPr>
        <w:t xml:space="preserve">July </w:t>
      </w:r>
      <w:r w:rsidR="00496041">
        <w:rPr>
          <w:rFonts w:ascii="Times New Roman" w:hAnsi="Times New Roman" w:cs="Times New Roman"/>
          <w:sz w:val="24"/>
          <w:szCs w:val="24"/>
        </w:rPr>
        <w:t>to</w:t>
      </w:r>
      <w:r w:rsidR="00762FFC">
        <w:rPr>
          <w:rFonts w:ascii="Times New Roman" w:hAnsi="Times New Roman" w:cs="Times New Roman"/>
          <w:sz w:val="24"/>
          <w:szCs w:val="24"/>
        </w:rPr>
        <w:t xml:space="preserve"> August of 2018</w:t>
      </w:r>
      <w:r w:rsidR="001549DC">
        <w:rPr>
          <w:rFonts w:ascii="Times New Roman" w:hAnsi="Times New Roman" w:cs="Times New Roman"/>
          <w:sz w:val="24"/>
          <w:szCs w:val="24"/>
        </w:rPr>
        <w:t>, indicate that the meter is either inaccurate or was not read properly</w:t>
      </w:r>
      <w:r w:rsidR="00762FFC">
        <w:rPr>
          <w:rFonts w:ascii="Times New Roman" w:hAnsi="Times New Roman" w:cs="Times New Roman"/>
          <w:sz w:val="24"/>
          <w:szCs w:val="24"/>
        </w:rPr>
        <w:t xml:space="preserve">. </w:t>
      </w:r>
      <w:r w:rsidR="00BD1D9A" w:rsidRPr="00BD1D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D1D9A" w:rsidRPr="00BD1D9A">
        <w:rPr>
          <w:rFonts w:ascii="Times New Roman" w:hAnsi="Times New Roman" w:cs="Times New Roman"/>
          <w:bCs/>
          <w:sz w:val="24"/>
          <w:szCs w:val="24"/>
        </w:rPr>
        <w:t xml:space="preserve">C-Willow seems to be simply insisting </w:t>
      </w:r>
      <w:r w:rsidR="00BD1D9A">
        <w:rPr>
          <w:rFonts w:ascii="Times New Roman" w:hAnsi="Times New Roman" w:cs="Times New Roman"/>
          <w:bCs/>
          <w:sz w:val="24"/>
          <w:szCs w:val="24"/>
        </w:rPr>
        <w:t xml:space="preserve">in its Written Closing Arguments </w:t>
      </w:r>
      <w:r w:rsidR="00BD1D9A" w:rsidRPr="00BD1D9A">
        <w:rPr>
          <w:rFonts w:ascii="Times New Roman" w:hAnsi="Times New Roman" w:cs="Times New Roman"/>
          <w:bCs/>
          <w:sz w:val="24"/>
          <w:szCs w:val="24"/>
        </w:rPr>
        <w:t xml:space="preserve">that the meter </w:t>
      </w:r>
      <w:r w:rsidR="00E47A42">
        <w:rPr>
          <w:rFonts w:ascii="Times New Roman" w:hAnsi="Times New Roman" w:cs="Times New Roman"/>
          <w:bCs/>
          <w:sz w:val="24"/>
          <w:szCs w:val="24"/>
        </w:rPr>
        <w:t>was tested for accuracy</w:t>
      </w:r>
      <w:r w:rsidR="00BD1D9A" w:rsidRPr="00BD1D9A">
        <w:rPr>
          <w:rFonts w:ascii="Times New Roman" w:hAnsi="Times New Roman" w:cs="Times New Roman"/>
          <w:bCs/>
          <w:sz w:val="24"/>
          <w:szCs w:val="24"/>
        </w:rPr>
        <w:t xml:space="preserve"> and consequently</w:t>
      </w:r>
      <w:r w:rsidR="00E47A42">
        <w:rPr>
          <w:rFonts w:ascii="Times New Roman" w:hAnsi="Times New Roman" w:cs="Times New Roman"/>
          <w:bCs/>
          <w:sz w:val="24"/>
          <w:szCs w:val="24"/>
        </w:rPr>
        <w:t xml:space="preserve"> that means their</w:t>
      </w:r>
      <w:r w:rsidR="00BD1D9A" w:rsidRPr="00BD1D9A">
        <w:rPr>
          <w:rFonts w:ascii="Times New Roman" w:hAnsi="Times New Roman" w:cs="Times New Roman"/>
          <w:bCs/>
          <w:sz w:val="24"/>
          <w:szCs w:val="24"/>
        </w:rPr>
        <w:t xml:space="preserve"> reading of that meter is also accurate.</w:t>
      </w:r>
      <w:r w:rsidR="00C93EB0">
        <w:rPr>
          <w:rFonts w:ascii="Times New Roman" w:hAnsi="Times New Roman" w:cs="Times New Roman"/>
          <w:bCs/>
          <w:sz w:val="24"/>
          <w:szCs w:val="24"/>
        </w:rPr>
        <w:t xml:space="preserve"> Staff’s position is that if the meter is in fact accurate, that does not mean that C-Willow read the me</w:t>
      </w:r>
      <w:r w:rsidR="001D6B5A">
        <w:rPr>
          <w:rFonts w:ascii="Times New Roman" w:hAnsi="Times New Roman" w:cs="Times New Roman"/>
          <w:bCs/>
          <w:sz w:val="24"/>
          <w:szCs w:val="24"/>
        </w:rPr>
        <w:t>ter properly.</w:t>
      </w:r>
    </w:p>
    <w:p w14:paraId="6B3242D6" w14:textId="4A8B414D" w:rsidR="00762FFC" w:rsidRPr="00762FFC" w:rsidRDefault="00762FFC" w:rsidP="004770E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Staff also notes that C</w:t>
      </w:r>
      <w:r w:rsidR="004770E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Willow provided </w:t>
      </w:r>
      <w:r w:rsidR="002C15F5">
        <w:rPr>
          <w:rFonts w:ascii="Times New Roman" w:hAnsi="Times New Roman" w:cs="Times New Roman"/>
          <w:sz w:val="24"/>
          <w:szCs w:val="24"/>
        </w:rPr>
        <w:t xml:space="preserve">six new documents </w:t>
      </w:r>
      <w:r w:rsidR="00E96992">
        <w:rPr>
          <w:rFonts w:ascii="Times New Roman" w:hAnsi="Times New Roman" w:cs="Times New Roman"/>
          <w:sz w:val="24"/>
          <w:szCs w:val="24"/>
        </w:rPr>
        <w:t xml:space="preserve">as part of its </w:t>
      </w:r>
      <w:r w:rsidR="002C15F5">
        <w:rPr>
          <w:rFonts w:ascii="Times New Roman" w:hAnsi="Times New Roman" w:cs="Times New Roman"/>
          <w:sz w:val="24"/>
          <w:szCs w:val="24"/>
        </w:rPr>
        <w:t xml:space="preserve">Written Closing Arguments that they did not offer into evidence during the </w:t>
      </w:r>
      <w:r w:rsidR="00E96992">
        <w:rPr>
          <w:rFonts w:ascii="Times New Roman" w:hAnsi="Times New Roman" w:cs="Times New Roman"/>
          <w:sz w:val="24"/>
          <w:szCs w:val="24"/>
        </w:rPr>
        <w:t>hearing on the merits</w:t>
      </w:r>
      <w:r w:rsidR="002C15F5">
        <w:rPr>
          <w:rFonts w:ascii="Times New Roman" w:hAnsi="Times New Roman" w:cs="Times New Roman"/>
          <w:sz w:val="24"/>
          <w:szCs w:val="24"/>
        </w:rPr>
        <w:t>.</w:t>
      </w:r>
      <w:r w:rsidR="002C15F5">
        <w:rPr>
          <w:rStyle w:val="FootnoteReference"/>
          <w:rFonts w:ascii="Times New Roman" w:hAnsi="Times New Roman" w:cs="Times New Roman"/>
          <w:sz w:val="24"/>
          <w:szCs w:val="24"/>
        </w:rPr>
        <w:footnoteReference w:id="7"/>
      </w:r>
      <w:r w:rsidR="002C15F5">
        <w:rPr>
          <w:rFonts w:ascii="Times New Roman" w:hAnsi="Times New Roman" w:cs="Times New Roman"/>
          <w:sz w:val="24"/>
          <w:szCs w:val="24"/>
        </w:rPr>
        <w:t xml:space="preserve"> </w:t>
      </w:r>
      <w:r w:rsidR="00EE10C8">
        <w:rPr>
          <w:rFonts w:ascii="Times New Roman" w:hAnsi="Times New Roman" w:cs="Times New Roman"/>
          <w:sz w:val="24"/>
          <w:szCs w:val="24"/>
        </w:rPr>
        <w:t xml:space="preserve">As the </w:t>
      </w:r>
      <w:r w:rsidR="002C15F5">
        <w:rPr>
          <w:rFonts w:ascii="Times New Roman" w:hAnsi="Times New Roman" w:cs="Times New Roman"/>
          <w:sz w:val="24"/>
          <w:szCs w:val="24"/>
        </w:rPr>
        <w:t xml:space="preserve"> Administrative Law Judge (ALJ) </w:t>
      </w:r>
      <w:r w:rsidR="00EE10C8">
        <w:rPr>
          <w:rFonts w:ascii="Times New Roman" w:hAnsi="Times New Roman" w:cs="Times New Roman"/>
          <w:sz w:val="24"/>
          <w:szCs w:val="24"/>
        </w:rPr>
        <w:t xml:space="preserve">is aware, </w:t>
      </w:r>
      <w:r w:rsidR="002C15F5">
        <w:rPr>
          <w:rFonts w:ascii="Times New Roman" w:hAnsi="Times New Roman" w:cs="Times New Roman"/>
          <w:sz w:val="24"/>
          <w:szCs w:val="24"/>
        </w:rPr>
        <w:t xml:space="preserve">these documents were not entered into the </w:t>
      </w:r>
      <w:r w:rsidR="00E96992">
        <w:rPr>
          <w:rFonts w:ascii="Times New Roman" w:hAnsi="Times New Roman" w:cs="Times New Roman"/>
          <w:sz w:val="24"/>
          <w:szCs w:val="24"/>
        </w:rPr>
        <w:t xml:space="preserve">evidentiary </w:t>
      </w:r>
      <w:r w:rsidR="002C15F5">
        <w:rPr>
          <w:rFonts w:ascii="Times New Roman" w:hAnsi="Times New Roman" w:cs="Times New Roman"/>
          <w:sz w:val="24"/>
          <w:szCs w:val="24"/>
        </w:rPr>
        <w:t xml:space="preserve">record and therefore are not evidence in this proceeding. Further, these documents appear nowhere </w:t>
      </w:r>
      <w:r w:rsidR="00496041">
        <w:rPr>
          <w:rFonts w:ascii="Times New Roman" w:hAnsi="Times New Roman" w:cs="Times New Roman"/>
          <w:sz w:val="24"/>
          <w:szCs w:val="24"/>
        </w:rPr>
        <w:t>i</w:t>
      </w:r>
      <w:r w:rsidR="002C15F5">
        <w:rPr>
          <w:rFonts w:ascii="Times New Roman" w:hAnsi="Times New Roman" w:cs="Times New Roman"/>
          <w:sz w:val="24"/>
          <w:szCs w:val="24"/>
        </w:rPr>
        <w:t xml:space="preserve">n the </w:t>
      </w:r>
      <w:r w:rsidR="00EE10C8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="002C15F5">
        <w:rPr>
          <w:rFonts w:ascii="Times New Roman" w:hAnsi="Times New Roman" w:cs="Times New Roman"/>
          <w:sz w:val="24"/>
          <w:szCs w:val="24"/>
        </w:rPr>
        <w:t>record for Public Utility Commission Docket No. 49261 and this is the first time C</w:t>
      </w:r>
      <w:r w:rsidR="004770EA">
        <w:rPr>
          <w:rFonts w:ascii="Times New Roman" w:hAnsi="Times New Roman" w:cs="Times New Roman"/>
          <w:sz w:val="24"/>
          <w:szCs w:val="24"/>
        </w:rPr>
        <w:t>-</w:t>
      </w:r>
      <w:r w:rsidR="002C15F5">
        <w:rPr>
          <w:rFonts w:ascii="Times New Roman" w:hAnsi="Times New Roman" w:cs="Times New Roman"/>
          <w:sz w:val="24"/>
          <w:szCs w:val="24"/>
        </w:rPr>
        <w:t xml:space="preserve">Willow has </w:t>
      </w:r>
      <w:r w:rsidR="00EE10C8">
        <w:rPr>
          <w:rFonts w:ascii="Times New Roman" w:hAnsi="Times New Roman" w:cs="Times New Roman"/>
          <w:sz w:val="24"/>
          <w:szCs w:val="24"/>
        </w:rPr>
        <w:t>provided</w:t>
      </w:r>
      <w:r w:rsidR="002C15F5">
        <w:rPr>
          <w:rFonts w:ascii="Times New Roman" w:hAnsi="Times New Roman" w:cs="Times New Roman"/>
          <w:sz w:val="24"/>
          <w:szCs w:val="24"/>
        </w:rPr>
        <w:t xml:space="preserve"> these documents during these proceedings.</w:t>
      </w:r>
      <w:r w:rsidR="00763FF1">
        <w:rPr>
          <w:rFonts w:ascii="Times New Roman" w:hAnsi="Times New Roman" w:cs="Times New Roman"/>
          <w:sz w:val="24"/>
          <w:szCs w:val="24"/>
        </w:rPr>
        <w:t xml:space="preserve"> Staff respectfully requests that the ALJ </w:t>
      </w:r>
      <w:r w:rsidR="002B38AB">
        <w:rPr>
          <w:rFonts w:ascii="Times New Roman" w:hAnsi="Times New Roman" w:cs="Times New Roman"/>
          <w:sz w:val="24"/>
          <w:szCs w:val="24"/>
        </w:rPr>
        <w:t xml:space="preserve">disregard these extraneous documents as they are not evidence in this proceeding. </w:t>
      </w:r>
    </w:p>
    <w:p w14:paraId="24FF9641" w14:textId="5F96F0CA" w:rsidR="005157BC" w:rsidRDefault="005157BC" w:rsidP="003E180F">
      <w:pPr>
        <w:keepNext/>
        <w:numPr>
          <w:ilvl w:val="0"/>
          <w:numId w:val="1"/>
        </w:num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Qualified Service Applicant </w:t>
      </w:r>
      <w:r w:rsidR="002C15F5" w:rsidRPr="002C15F5">
        <w:rPr>
          <w:rFonts w:ascii="Times New Roman" w:eastAsia="Times New Roman" w:hAnsi="Times New Roman" w:cs="Times New Roman"/>
          <w:b/>
          <w:caps/>
          <w:sz w:val="24"/>
          <w:szCs w:val="24"/>
        </w:rPr>
        <w:t>UNDER 16 TEXAS ADMINISTRATIVE CODE (TAC) § 24.161(a)</w:t>
      </w:r>
    </w:p>
    <w:p w14:paraId="21389510" w14:textId="35FBA3AD" w:rsidR="002C15F5" w:rsidRDefault="002C15F5" w:rsidP="002C15F5">
      <w:pPr>
        <w:keepNext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C</w:t>
      </w:r>
      <w:r w:rsidR="004770EA">
        <w:rPr>
          <w:rFonts w:ascii="Times New Roman" w:eastAsia="Times New Roman" w:hAnsi="Times New Roman" w:cs="Times New Roman"/>
          <w:bCs/>
          <w:cap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illow claims in </w:t>
      </w:r>
      <w:r w:rsidR="00077F06">
        <w:rPr>
          <w:rFonts w:ascii="Times New Roman" w:eastAsia="Times New Roman" w:hAnsi="Times New Roman" w:cs="Times New Roman"/>
          <w:bCs/>
          <w:sz w:val="24"/>
          <w:szCs w:val="24"/>
        </w:rPr>
        <w:t xml:space="preserve">its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Written Closing Arguments that “by admitting [</w:t>
      </w:r>
      <w:r w:rsidR="002B397B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Moore] moved in the house in July prior to submitting [</w:t>
      </w:r>
      <w:r w:rsidR="002B397B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Moore’s] application that indicates [</w:t>
      </w:r>
      <w:r w:rsidR="002B397B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Moore] would be the sole person responsible for paying this bill.”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8"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C</w:t>
      </w:r>
      <w:r w:rsidR="004770E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Willow did not rebut Staff’s argument that 16 TAC </w:t>
      </w:r>
      <w:r w:rsidRPr="002C15F5">
        <w:rPr>
          <w:rFonts w:ascii="Times New Roman" w:eastAsia="Times New Roman" w:hAnsi="Times New Roman" w:cs="Times New Roman"/>
          <w:bCs/>
          <w:sz w:val="24"/>
          <w:szCs w:val="24"/>
        </w:rPr>
        <w:t>§ 24.161(a)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precluded C</w:t>
      </w:r>
      <w:r w:rsidR="004770E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Willow from charging </w:t>
      </w:r>
      <w:r w:rsidR="00A03161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for service prior to September 13, 2018 </w:t>
      </w:r>
      <w:r w:rsidR="003902A1">
        <w:rPr>
          <w:rFonts w:ascii="Times New Roman" w:eastAsia="Times New Roman" w:hAnsi="Times New Roman" w:cs="Times New Roman"/>
          <w:bCs/>
          <w:sz w:val="24"/>
          <w:szCs w:val="24"/>
        </w:rPr>
        <w:t xml:space="preserve">because </w:t>
      </w:r>
      <w:r w:rsidR="00565000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 w:rsidR="003902A1"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was not 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qualified service applicant.</w:t>
      </w:r>
      <w:r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9"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Further, C</w:t>
      </w:r>
      <w:r w:rsidR="004770E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Willow </w:t>
      </w:r>
      <w:r w:rsidR="003902A1">
        <w:rPr>
          <w:rFonts w:ascii="Times New Roman" w:eastAsia="Times New Roman" w:hAnsi="Times New Roman" w:cs="Times New Roman"/>
          <w:bCs/>
          <w:sz w:val="24"/>
          <w:szCs w:val="24"/>
        </w:rPr>
        <w:t xml:space="preserve">has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provided no statute or rule that </w:t>
      </w:r>
      <w:r w:rsidR="00496041">
        <w:rPr>
          <w:rFonts w:ascii="Times New Roman" w:eastAsia="Times New Roman" w:hAnsi="Times New Roman" w:cs="Times New Roman"/>
          <w:bCs/>
          <w:sz w:val="24"/>
          <w:szCs w:val="24"/>
        </w:rPr>
        <w:t xml:space="preserve">gave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them the authority to charge </w:t>
      </w:r>
      <w:r w:rsidR="00565000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before he became a qualified service applicant. </w:t>
      </w:r>
      <w:r w:rsidR="000833D6">
        <w:rPr>
          <w:rFonts w:ascii="Times New Roman" w:eastAsia="Times New Roman" w:hAnsi="Times New Roman" w:cs="Times New Roman"/>
          <w:bCs/>
          <w:sz w:val="24"/>
          <w:szCs w:val="24"/>
        </w:rPr>
        <w:t>Thus,</w:t>
      </w:r>
      <w:r w:rsidR="003902A1">
        <w:rPr>
          <w:rFonts w:ascii="Times New Roman" w:eastAsia="Times New Roman" w:hAnsi="Times New Roman" w:cs="Times New Roman"/>
          <w:bCs/>
          <w:sz w:val="24"/>
          <w:szCs w:val="24"/>
        </w:rPr>
        <w:t xml:space="preserve"> Staff’s position remains </w:t>
      </w:r>
      <w:r w:rsidR="000833D6">
        <w:rPr>
          <w:rFonts w:ascii="Times New Roman" w:eastAsia="Times New Roman" w:hAnsi="Times New Roman" w:cs="Times New Roman"/>
          <w:bCs/>
          <w:sz w:val="24"/>
          <w:szCs w:val="24"/>
        </w:rPr>
        <w:t>that C</w:t>
      </w:r>
      <w:r w:rsidR="004770EA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0833D6">
        <w:rPr>
          <w:rFonts w:ascii="Times New Roman" w:eastAsia="Times New Roman" w:hAnsi="Times New Roman" w:cs="Times New Roman"/>
          <w:bCs/>
          <w:sz w:val="24"/>
          <w:szCs w:val="24"/>
        </w:rPr>
        <w:t>Willow</w:t>
      </w:r>
      <w:r w:rsidR="00346E9E">
        <w:rPr>
          <w:rFonts w:ascii="Times New Roman" w:eastAsia="Times New Roman" w:hAnsi="Times New Roman" w:cs="Times New Roman"/>
          <w:bCs/>
          <w:sz w:val="24"/>
          <w:szCs w:val="24"/>
        </w:rPr>
        <w:t xml:space="preserve"> is not able to</w:t>
      </w:r>
      <w:r w:rsidR="000833D6">
        <w:rPr>
          <w:rFonts w:ascii="Times New Roman" w:eastAsia="Times New Roman" w:hAnsi="Times New Roman" w:cs="Times New Roman"/>
          <w:bCs/>
          <w:sz w:val="24"/>
          <w:szCs w:val="24"/>
        </w:rPr>
        <w:t xml:space="preserve"> bill </w:t>
      </w:r>
      <w:r w:rsidR="00A03161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 w:rsidR="000833D6"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for water use </w:t>
      </w:r>
      <w:r w:rsidR="00346E9E">
        <w:rPr>
          <w:rFonts w:ascii="Times New Roman" w:eastAsia="Times New Roman" w:hAnsi="Times New Roman" w:cs="Times New Roman"/>
          <w:bCs/>
          <w:sz w:val="24"/>
          <w:szCs w:val="24"/>
        </w:rPr>
        <w:t xml:space="preserve">at 303 Hickory Trail prior to Mr. Moore becoming </w:t>
      </w:r>
      <w:r w:rsidR="000833D6">
        <w:rPr>
          <w:rFonts w:ascii="Times New Roman" w:eastAsia="Times New Roman" w:hAnsi="Times New Roman" w:cs="Times New Roman"/>
          <w:bCs/>
          <w:sz w:val="24"/>
          <w:szCs w:val="24"/>
        </w:rPr>
        <w:t xml:space="preserve">a qualified service applicant on September 13, 2018.  </w:t>
      </w:r>
    </w:p>
    <w:p w14:paraId="484CFB0C" w14:textId="77777777" w:rsidR="00C75909" w:rsidRPr="002C15F5" w:rsidRDefault="00C75909" w:rsidP="002C15F5">
      <w:pPr>
        <w:keepNext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D2FE9D" w14:textId="5DCAB630" w:rsidR="003E180F" w:rsidRPr="003E180F" w:rsidRDefault="003E180F" w:rsidP="003E180F">
      <w:pPr>
        <w:keepNext/>
        <w:numPr>
          <w:ilvl w:val="0"/>
          <w:numId w:val="1"/>
        </w:num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58B39ED9" w14:textId="394D6C43" w:rsidR="004770EA" w:rsidRDefault="004770EA" w:rsidP="002B397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 xml:space="preserve">Willow’s Written Closing Arguments </w:t>
      </w:r>
      <w:r w:rsidR="001638EA">
        <w:rPr>
          <w:rFonts w:ascii="Times New Roman" w:eastAsia="Times New Roman" w:hAnsi="Times New Roman" w:cs="Times New Roman"/>
          <w:bCs/>
          <w:sz w:val="24"/>
          <w:szCs w:val="24"/>
        </w:rPr>
        <w:t xml:space="preserve">present no </w:t>
      </w:r>
      <w:r w:rsidR="00FF1A1B">
        <w:rPr>
          <w:rFonts w:ascii="Times New Roman" w:eastAsia="Times New Roman" w:hAnsi="Times New Roman" w:cs="Times New Roman"/>
          <w:bCs/>
          <w:sz w:val="24"/>
          <w:szCs w:val="24"/>
        </w:rPr>
        <w:t xml:space="preserve">viable argument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that </w:t>
      </w:r>
      <w:r w:rsidR="00FF1A1B">
        <w:rPr>
          <w:rFonts w:ascii="Times New Roman" w:eastAsia="Times New Roman" w:hAnsi="Times New Roman" w:cs="Times New Roman"/>
          <w:bCs/>
          <w:sz w:val="24"/>
          <w:szCs w:val="24"/>
        </w:rPr>
        <w:t xml:space="preserve">suggests </w:t>
      </w:r>
      <w:r w:rsidR="00565000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could have used 495,280 gallons of water from July to August of 2018, nor does it cite any authority that would allow C-Willow to charge </w:t>
      </w:r>
      <w:r w:rsidR="001638EA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</w:t>
      </w:r>
      <w:r w:rsidR="00246161">
        <w:rPr>
          <w:rFonts w:ascii="Times New Roman" w:eastAsia="Times New Roman" w:hAnsi="Times New Roman" w:cs="Times New Roman"/>
          <w:bCs/>
          <w:sz w:val="24"/>
          <w:szCs w:val="24"/>
        </w:rPr>
        <w:t xml:space="preserve">for usage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prior to him becoming a qualified service applicant. Thus</w:t>
      </w:r>
      <w:r w:rsidR="0049604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6161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Staff’s position is that 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 xml:space="preserve">C-Willow should </w:t>
      </w:r>
      <w:r w:rsidR="00F94F9D">
        <w:rPr>
          <w:rFonts w:ascii="Times New Roman" w:eastAsia="Times New Roman" w:hAnsi="Times New Roman" w:cs="Times New Roman"/>
          <w:bCs/>
          <w:sz w:val="24"/>
          <w:szCs w:val="24"/>
        </w:rPr>
        <w:t xml:space="preserve">be required to refund </w:t>
      </w:r>
      <w:r w:rsidR="001638EA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>Moore $1,783.58 in charges, late fees and interest</w:t>
      </w:r>
      <w:r w:rsidR="0049604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 xml:space="preserve"> because the record does not support a finding that </w:t>
      </w:r>
      <w:r w:rsidR="001638EA">
        <w:rPr>
          <w:rFonts w:ascii="Times New Roman" w:eastAsia="Times New Roman" w:hAnsi="Times New Roman" w:cs="Times New Roman"/>
          <w:bCs/>
          <w:sz w:val="24"/>
          <w:szCs w:val="24"/>
        </w:rPr>
        <w:t xml:space="preserve">Mr. 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 xml:space="preserve">Moore </w:t>
      </w:r>
      <w:proofErr w:type="gramStart"/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>actually used</w:t>
      </w:r>
      <w:proofErr w:type="gramEnd"/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46161">
        <w:rPr>
          <w:rFonts w:ascii="Times New Roman" w:eastAsia="Times New Roman" w:hAnsi="Times New Roman" w:cs="Times New Roman"/>
          <w:bCs/>
          <w:sz w:val="24"/>
          <w:szCs w:val="24"/>
        </w:rPr>
        <w:t xml:space="preserve">or is responsible for 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>the 495,280 gallons on which th</w:t>
      </w:r>
      <w:r w:rsidR="00246161">
        <w:rPr>
          <w:rFonts w:ascii="Times New Roman" w:eastAsia="Times New Roman" w:hAnsi="Times New Roman" w:cs="Times New Roman"/>
          <w:bCs/>
          <w:sz w:val="24"/>
          <w:szCs w:val="24"/>
        </w:rPr>
        <w:t>at</w:t>
      </w:r>
      <w:r w:rsidRPr="004770EA">
        <w:rPr>
          <w:rFonts w:ascii="Times New Roman" w:eastAsia="Times New Roman" w:hAnsi="Times New Roman" w:cs="Times New Roman"/>
          <w:bCs/>
          <w:sz w:val="24"/>
          <w:szCs w:val="24"/>
        </w:rPr>
        <w:t xml:space="preserve"> charge was based.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73BBBE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789AACB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ADCC9B8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0CF269D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F965138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DAE8C55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9E7E186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4FDF69C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C3A4E9A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C0B2BF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E7380D4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14C8FC8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9F44925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EC7A250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0AE09ED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F30D660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09D55AB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3C3F11A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DE59AB7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7334199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D485C41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07139B4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47EECA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0258E2E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B3BAF77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02DAC6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D310ACC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475F96A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0B3C4A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E6D1C4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7307DB5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20F5F85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FADAA66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147336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B5A5A00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D5171A6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5220817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0D43A5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2B9D3C6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036F28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BF9EF37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23FD3C1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BA56D68" w14:textId="77777777" w:rsidR="00F94F9D" w:rsidRDefault="00F94F9D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AF53D68" w14:textId="148881F4" w:rsidR="00F94F9D" w:rsidRPr="003E180F" w:rsidRDefault="003E180F" w:rsidP="002B39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473-20-1120.WS</w:t>
      </w:r>
    </w:p>
    <w:p w14:paraId="560F05E2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49261</w:t>
      </w:r>
    </w:p>
    <w:p w14:paraId="196195C2" w14:textId="77777777" w:rsidR="003E180F" w:rsidRPr="003E180F" w:rsidRDefault="003E180F" w:rsidP="003E1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FBAE11B" w14:textId="77777777" w:rsidR="003E180F" w:rsidRPr="003E180F" w:rsidRDefault="003E180F" w:rsidP="003E180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F5ABA66" w14:textId="6A3F2C04" w:rsidR="003E180F" w:rsidRPr="003E180F" w:rsidRDefault="003E180F" w:rsidP="003E180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E180F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3E180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E180F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E180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E1D48">
        <w:rPr>
          <w:rFonts w:ascii="Times New Roman" w:eastAsia="Times New Roman" w:hAnsi="Times New Roman" w:cs="Times New Roman"/>
          <w:noProof/>
          <w:sz w:val="24"/>
          <w:szCs w:val="24"/>
        </w:rPr>
        <w:t>July 22, 2020</w:t>
      </w:r>
      <w:r w:rsidRPr="003E180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E180F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66ADC2FA" w14:textId="77777777" w:rsidR="003E180F" w:rsidRPr="003E180F" w:rsidRDefault="003E180F" w:rsidP="003E180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1DEE8D" w14:textId="383FBF61" w:rsidR="003E180F" w:rsidRPr="003E180F" w:rsidRDefault="002B397B" w:rsidP="003E180F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  <w:bookmarkStart w:id="2" w:name="_GoBack"/>
      <w:bookmarkEnd w:id="2"/>
    </w:p>
    <w:p w14:paraId="1E55691F" w14:textId="77777777" w:rsidR="003E180F" w:rsidRPr="003E180F" w:rsidRDefault="003E180F" w:rsidP="003E180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E180F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4DAE9231" w14:textId="77777777" w:rsidR="003E180F" w:rsidRPr="003E180F" w:rsidRDefault="003E180F" w:rsidP="003E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2B4A07" w14:textId="77777777" w:rsidR="00F17459" w:rsidRDefault="00F17459"/>
    <w:sectPr w:rsidR="00F1745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A43CA" w14:textId="77777777" w:rsidR="00F9330D" w:rsidRDefault="00F9330D" w:rsidP="003E180F">
      <w:pPr>
        <w:spacing w:after="0" w:line="240" w:lineRule="auto"/>
      </w:pPr>
      <w:r>
        <w:separator/>
      </w:r>
    </w:p>
  </w:endnote>
  <w:endnote w:type="continuationSeparator" w:id="0">
    <w:p w14:paraId="34660995" w14:textId="77777777" w:rsidR="00F9330D" w:rsidRDefault="00F9330D" w:rsidP="003E1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5449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75282B" w14:textId="77777777" w:rsidR="006A213C" w:rsidRDefault="006654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92D7F5" w14:textId="77777777" w:rsidR="006A213C" w:rsidRDefault="009E7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DC417" w14:textId="77777777" w:rsidR="00F9330D" w:rsidRDefault="00F9330D" w:rsidP="003E180F">
      <w:pPr>
        <w:spacing w:after="0" w:line="240" w:lineRule="auto"/>
      </w:pPr>
      <w:r>
        <w:separator/>
      </w:r>
    </w:p>
  </w:footnote>
  <w:footnote w:type="continuationSeparator" w:id="0">
    <w:p w14:paraId="77693FBD" w14:textId="77777777" w:rsidR="00F9330D" w:rsidRDefault="00F9330D" w:rsidP="003E180F">
      <w:pPr>
        <w:spacing w:after="0" w:line="240" w:lineRule="auto"/>
      </w:pPr>
      <w:r>
        <w:continuationSeparator/>
      </w:r>
    </w:p>
  </w:footnote>
  <w:footnote w:id="1">
    <w:p w14:paraId="6CD71694" w14:textId="5BC79F6D" w:rsidR="005157BC" w:rsidRDefault="005157BC" w:rsidP="005157B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C</w:t>
      </w:r>
      <w:r w:rsidR="004770EA">
        <w:t>-</w:t>
      </w:r>
      <w:r>
        <w:t>Willow Water Company’s Written Closing Arguments (C</w:t>
      </w:r>
      <w:r w:rsidR="004770EA">
        <w:t>-</w:t>
      </w:r>
      <w:r>
        <w:t>Willow’s Closing Arguments) at 1-2.</w:t>
      </w:r>
    </w:p>
  </w:footnote>
  <w:footnote w:id="2">
    <w:p w14:paraId="4727C905" w14:textId="1E6B61AC" w:rsidR="005157BC" w:rsidRDefault="005157BC" w:rsidP="005157B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5157BC">
        <w:rPr>
          <w:i/>
          <w:iCs/>
        </w:rPr>
        <w:t>Id</w:t>
      </w:r>
      <w:r>
        <w:t xml:space="preserve">. at 1. </w:t>
      </w:r>
    </w:p>
  </w:footnote>
  <w:footnote w:id="3">
    <w:p w14:paraId="0A9C4DC9" w14:textId="2D422851" w:rsidR="005157BC" w:rsidRDefault="005157BC" w:rsidP="005157B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5157BC">
        <w:rPr>
          <w:i/>
          <w:iCs/>
        </w:rPr>
        <w:t>Id</w:t>
      </w:r>
      <w:r>
        <w:t>.</w:t>
      </w:r>
    </w:p>
  </w:footnote>
  <w:footnote w:id="4">
    <w:p w14:paraId="32F22B94" w14:textId="03E3B461" w:rsidR="00155DE6" w:rsidRDefault="00155DE6" w:rsidP="00155DE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Staff Initial Brief at 4-14. </w:t>
      </w:r>
    </w:p>
  </w:footnote>
  <w:footnote w:id="5">
    <w:p w14:paraId="620E9F93" w14:textId="38E10B23" w:rsidR="00155DE6" w:rsidRDefault="00155DE6" w:rsidP="00155DE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155DE6">
        <w:rPr>
          <w:i/>
          <w:iCs/>
        </w:rPr>
        <w:t>Id</w:t>
      </w:r>
      <w:r>
        <w:t>. at 14-17.</w:t>
      </w:r>
    </w:p>
  </w:footnote>
  <w:footnote w:id="6">
    <w:p w14:paraId="0D363101" w14:textId="56267500" w:rsidR="00155DE6" w:rsidRDefault="00155DE6" w:rsidP="00155DE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155DE6">
        <w:rPr>
          <w:i/>
          <w:iCs/>
        </w:rPr>
        <w:t>Id</w:t>
      </w:r>
      <w:r>
        <w:t>. at 4-17.</w:t>
      </w:r>
    </w:p>
  </w:footnote>
  <w:footnote w:id="7">
    <w:p w14:paraId="7D5EDC6B" w14:textId="507DBC59" w:rsidR="002C15F5" w:rsidRDefault="002C15F5" w:rsidP="002C15F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C</w:t>
      </w:r>
      <w:r w:rsidR="004770EA">
        <w:t>-</w:t>
      </w:r>
      <w:r>
        <w:t>Willow’s Closing Arguments at Attachment 1-6.</w:t>
      </w:r>
    </w:p>
  </w:footnote>
  <w:footnote w:id="8">
    <w:p w14:paraId="3F6C9783" w14:textId="0686A9CB" w:rsidR="002C15F5" w:rsidRDefault="002C15F5" w:rsidP="002C15F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C Willow’s Closing Arguments at 2. </w:t>
      </w:r>
    </w:p>
  </w:footnote>
  <w:footnote w:id="9">
    <w:p w14:paraId="60E4BD1D" w14:textId="4E60C221" w:rsidR="002C15F5" w:rsidRDefault="002C15F5" w:rsidP="004770E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Staff Initial Brief at 3-4.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5C5C"/>
    <w:multiLevelType w:val="hybridMultilevel"/>
    <w:tmpl w:val="30F6CDB2"/>
    <w:lvl w:ilvl="0" w:tplc="A050AA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31355"/>
    <w:multiLevelType w:val="hybridMultilevel"/>
    <w:tmpl w:val="7D548CF0"/>
    <w:lvl w:ilvl="0" w:tplc="609822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C27C46"/>
    <w:multiLevelType w:val="hybridMultilevel"/>
    <w:tmpl w:val="839C9F1C"/>
    <w:lvl w:ilvl="0" w:tplc="7592F6C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F4AEC"/>
    <w:multiLevelType w:val="hybridMultilevel"/>
    <w:tmpl w:val="1DB4E7C0"/>
    <w:lvl w:ilvl="0" w:tplc="D2AE07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3E1A"/>
    <w:multiLevelType w:val="hybridMultilevel"/>
    <w:tmpl w:val="AE50A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E3452"/>
    <w:multiLevelType w:val="hybridMultilevel"/>
    <w:tmpl w:val="C5A25FBA"/>
    <w:lvl w:ilvl="0" w:tplc="60982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16E1016">
      <w:start w:val="1"/>
      <w:numFmt w:val="lowerLetter"/>
      <w:lvlText w:val="%2."/>
      <w:lvlJc w:val="left"/>
      <w:pPr>
        <w:ind w:left="1440" w:hanging="360"/>
      </w:pPr>
      <w:rPr>
        <w:cap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6EA"/>
    <w:multiLevelType w:val="hybridMultilevel"/>
    <w:tmpl w:val="B504FCB6"/>
    <w:lvl w:ilvl="0" w:tplc="6B0C481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74D18"/>
    <w:multiLevelType w:val="hybridMultilevel"/>
    <w:tmpl w:val="5EC2AE70"/>
    <w:lvl w:ilvl="0" w:tplc="121038D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80F"/>
    <w:rsid w:val="00001A5B"/>
    <w:rsid w:val="000600F6"/>
    <w:rsid w:val="00067ED3"/>
    <w:rsid w:val="00077F06"/>
    <w:rsid w:val="000833D6"/>
    <w:rsid w:val="000D1115"/>
    <w:rsid w:val="000E1D48"/>
    <w:rsid w:val="00116336"/>
    <w:rsid w:val="001549DC"/>
    <w:rsid w:val="00155DE6"/>
    <w:rsid w:val="001638EA"/>
    <w:rsid w:val="001D6B5A"/>
    <w:rsid w:val="0020653B"/>
    <w:rsid w:val="00212887"/>
    <w:rsid w:val="00246161"/>
    <w:rsid w:val="002B38AB"/>
    <w:rsid w:val="002B397B"/>
    <w:rsid w:val="002C15F5"/>
    <w:rsid w:val="00341EBB"/>
    <w:rsid w:val="00346E9E"/>
    <w:rsid w:val="003902A1"/>
    <w:rsid w:val="003E180F"/>
    <w:rsid w:val="003E3A30"/>
    <w:rsid w:val="003F508A"/>
    <w:rsid w:val="00454E18"/>
    <w:rsid w:val="004770EA"/>
    <w:rsid w:val="00496041"/>
    <w:rsid w:val="0050421D"/>
    <w:rsid w:val="005157BC"/>
    <w:rsid w:val="00565000"/>
    <w:rsid w:val="005D44CE"/>
    <w:rsid w:val="005D6E77"/>
    <w:rsid w:val="00610F4F"/>
    <w:rsid w:val="00665476"/>
    <w:rsid w:val="00674E0E"/>
    <w:rsid w:val="006C2A0B"/>
    <w:rsid w:val="006D3C3E"/>
    <w:rsid w:val="00762FFC"/>
    <w:rsid w:val="00763FF1"/>
    <w:rsid w:val="007D68A3"/>
    <w:rsid w:val="007E3A96"/>
    <w:rsid w:val="008549F3"/>
    <w:rsid w:val="008A02D3"/>
    <w:rsid w:val="008C0AFE"/>
    <w:rsid w:val="008D1B7F"/>
    <w:rsid w:val="009603B2"/>
    <w:rsid w:val="009E7364"/>
    <w:rsid w:val="00A03161"/>
    <w:rsid w:val="00A30C9A"/>
    <w:rsid w:val="00AB576A"/>
    <w:rsid w:val="00B03BFA"/>
    <w:rsid w:val="00B71959"/>
    <w:rsid w:val="00BD1D9A"/>
    <w:rsid w:val="00BE1C4E"/>
    <w:rsid w:val="00C440D8"/>
    <w:rsid w:val="00C615C6"/>
    <w:rsid w:val="00C75909"/>
    <w:rsid w:val="00C93EB0"/>
    <w:rsid w:val="00CA4C25"/>
    <w:rsid w:val="00D1427D"/>
    <w:rsid w:val="00DA5CF6"/>
    <w:rsid w:val="00DB2D08"/>
    <w:rsid w:val="00E47A42"/>
    <w:rsid w:val="00E95477"/>
    <w:rsid w:val="00E96992"/>
    <w:rsid w:val="00EE10C8"/>
    <w:rsid w:val="00F17459"/>
    <w:rsid w:val="00F7565B"/>
    <w:rsid w:val="00F930C9"/>
    <w:rsid w:val="00F9330D"/>
    <w:rsid w:val="00F94F9D"/>
    <w:rsid w:val="00FB0DF0"/>
    <w:rsid w:val="00FB1860"/>
    <w:rsid w:val="00FC1469"/>
    <w:rsid w:val="00FF18F5"/>
    <w:rsid w:val="00FF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8DF2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180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180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E180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E180F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E180F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440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F18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8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8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8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8F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F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549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E73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9B072-A82C-403A-994A-295AA586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847</Words>
  <Characters>4829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2020-07-22T15:13:00Z</dcterms:created>
  <dcterms:modified xsi:type="dcterms:W3CDTF">2020-07-22T15:13:00Z</dcterms:modified>
</cp:coreProperties>
</file>